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E" w:rsidRPr="00960C0D" w:rsidRDefault="000568EE" w:rsidP="0087352C">
      <w:pPr>
        <w:pStyle w:val="Header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960C0D">
        <w:rPr>
          <w:rFonts w:ascii="Arial" w:hAnsi="Arial" w:cs="Arial"/>
          <w:sz w:val="22"/>
          <w:szCs w:val="22"/>
        </w:rPr>
        <w:t xml:space="preserve">Příloha č. 4 k vyhlášce č. </w:t>
      </w:r>
      <w:r>
        <w:rPr>
          <w:rFonts w:ascii="Arial" w:hAnsi="Arial" w:cs="Arial"/>
          <w:sz w:val="22"/>
          <w:szCs w:val="22"/>
        </w:rPr>
        <w:t>429</w:t>
      </w:r>
      <w:r w:rsidRPr="00960C0D">
        <w:rPr>
          <w:rFonts w:ascii="Arial" w:hAnsi="Arial" w:cs="Arial"/>
          <w:sz w:val="22"/>
          <w:szCs w:val="22"/>
        </w:rPr>
        <w:t>/2024 Sb.</w:t>
      </w:r>
    </w:p>
    <w:p w:rsidR="000568EE" w:rsidRDefault="000568EE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568EE" w:rsidRDefault="000568EE" w:rsidP="008735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podzemních nebo jeho změnu</w:t>
      </w:r>
    </w:p>
    <w:p w:rsidR="000568EE" w:rsidRPr="008133FB" w:rsidRDefault="000568EE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:rsidR="000568EE" w:rsidRPr="00F276E9" w:rsidRDefault="000568EE" w:rsidP="0087352C">
      <w:pPr>
        <w:spacing w:after="0"/>
        <w:ind w:left="538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Městský úřad Náchod</w:t>
      </w:r>
    </w:p>
    <w:p w:rsidR="000568EE" w:rsidRPr="008133FB" w:rsidRDefault="000568EE" w:rsidP="00F276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 životního prostředí</w:t>
      </w:r>
    </w:p>
    <w:p w:rsidR="000568EE" w:rsidRPr="008133FB" w:rsidRDefault="000568EE" w:rsidP="00F276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Zámecká 1845</w:t>
      </w:r>
    </w:p>
    <w:p w:rsidR="000568EE" w:rsidRPr="008133FB" w:rsidRDefault="000568EE" w:rsidP="00F276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547 01 Náchod</w:t>
      </w:r>
    </w:p>
    <w:p w:rsidR="000568EE" w:rsidRPr="008133FB" w:rsidRDefault="000568EE" w:rsidP="0087352C">
      <w:pPr>
        <w:spacing w:after="0"/>
        <w:ind w:left="5670"/>
        <w:jc w:val="both"/>
        <w:rPr>
          <w:rFonts w:ascii="Arial" w:hAnsi="Arial" w:cs="Arial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:rsidR="000568EE" w:rsidRPr="008133FB" w:rsidRDefault="000568EE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:rsidR="000568EE" w:rsidRPr="008133FB" w:rsidRDefault="000568EE" w:rsidP="0087352C">
      <w:pPr>
        <w:pStyle w:val="Heading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podzemních nebo jeho změnu</w:t>
      </w:r>
    </w:p>
    <w:p w:rsidR="000568EE" w:rsidRPr="008133FB" w:rsidRDefault="000568EE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:rsidR="000568EE" w:rsidRPr="008133FB" w:rsidRDefault="000568EE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:rsidR="000568EE" w:rsidRPr="008133FB" w:rsidRDefault="000568EE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:rsidR="000568EE" w:rsidRPr="008133FB" w:rsidRDefault="000568EE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:rsidR="000568EE" w:rsidRPr="008133FB" w:rsidRDefault="000568EE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:rsidR="000568EE" w:rsidRPr="008133FB" w:rsidRDefault="000568EE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:rsidR="000568EE" w:rsidRPr="008133FB" w:rsidRDefault="000568EE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:rsidR="000568EE" w:rsidRPr="008133FB" w:rsidRDefault="000568EE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:rsidR="000568EE" w:rsidRPr="008133FB" w:rsidRDefault="000568EE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………………..……………………… č.j.…………….…………………………...………….</w:t>
      </w:r>
    </w:p>
    <w:p w:rsidR="000568EE" w:rsidRPr="008133FB" w:rsidRDefault="000568EE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:rsidR="000568EE" w:rsidRPr="008133FB" w:rsidRDefault="000568EE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:rsidR="000568EE" w:rsidRPr="008133FB" w:rsidRDefault="000568EE" w:rsidP="0087352C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:rsidR="000568EE" w:rsidRPr="008133FB" w:rsidRDefault="000568EE" w:rsidP="0087352C">
      <w:pPr>
        <w:pStyle w:val="ListParagraph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:rsidR="000568EE" w:rsidRPr="008133FB" w:rsidRDefault="000568EE" w:rsidP="0087352C">
      <w:pPr>
        <w:pStyle w:val="ListParagraph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:rsidR="000568EE" w:rsidRDefault="000568EE" w:rsidP="0087352C">
      <w:pPr>
        <w:pStyle w:val="ListParagraph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:rsidR="000568EE" w:rsidRPr="008133FB" w:rsidRDefault="000568EE" w:rsidP="0087352C">
      <w:pPr>
        <w:pStyle w:val="ListParagraph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pStyle w:val="ListParagraph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:rsidR="000568EE" w:rsidRPr="008133FB" w:rsidRDefault="000568EE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568EE" w:rsidRPr="008133FB" w:rsidRDefault="000568EE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:rsidR="000568EE" w:rsidRPr="008133FB" w:rsidRDefault="000568EE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0568EE" w:rsidRPr="008133FB" w:rsidRDefault="000568EE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0568EE" w:rsidRPr="008133FB" w:rsidRDefault="000568EE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:rsidR="000568EE" w:rsidRPr="008133FB" w:rsidRDefault="000568EE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:rsidR="000568EE" w:rsidRPr="008133FB" w:rsidRDefault="000568EE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0568EE" w:rsidRPr="008133FB" w:rsidRDefault="000568EE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0568EE" w:rsidRPr="008133FB" w:rsidRDefault="000568EE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:rsidR="000568EE" w:rsidRPr="008133FB" w:rsidRDefault="000568EE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……………………………………...……………………………………………..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 xml:space="preserve"> …………………………...………………………………………</w:t>
      </w:r>
      <w:r>
        <w:rPr>
          <w:rFonts w:ascii="Arial" w:hAnsi="Arial" w:cs="Arial"/>
        </w:rPr>
        <w:t>……..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:rsidR="000568EE" w:rsidRPr="008133FB" w:rsidRDefault="000568EE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:rsidR="000568EE" w:rsidRDefault="000568EE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:rsidR="000568EE" w:rsidRPr="008133FB" w:rsidRDefault="000568EE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:rsidR="000568EE" w:rsidRDefault="000568EE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……..</w:t>
      </w:r>
      <w:r w:rsidRPr="008133FB">
        <w:rPr>
          <w:rFonts w:ascii="Arial" w:hAnsi="Arial" w:cs="Arial"/>
          <w:bCs/>
        </w:rPr>
        <w:t>…………….</w:t>
      </w:r>
    </w:p>
    <w:p w:rsidR="000568EE" w:rsidRDefault="000568EE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:rsidR="000568EE" w:rsidRPr="008133FB" w:rsidRDefault="000568EE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:rsidR="000568EE" w:rsidRPr="008133FB" w:rsidRDefault="000568EE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:rsidR="000568EE" w:rsidRPr="008133FB" w:rsidRDefault="000568EE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0568EE" w:rsidRPr="008133FB" w:rsidRDefault="000568EE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0568EE" w:rsidRPr="008133FB" w:rsidRDefault="000568EE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BodyText2"/>
        <w:spacing w:after="0" w:line="240" w:lineRule="auto"/>
        <w:ind w:left="426"/>
        <w:jc w:val="both"/>
        <w:rPr>
          <w:rFonts w:cs="Arial"/>
          <w:vertAlign w:val="superscript"/>
        </w:rPr>
      </w:pPr>
      <w:r w:rsidRPr="008133FB">
        <w:rPr>
          <w:rFonts w:cs="Arial"/>
        </w:rPr>
        <w:t>prům. ___________ l.s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:rsidR="000568EE" w:rsidRPr="008133FB" w:rsidRDefault="000568EE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568EE" w:rsidRPr="008133FB" w:rsidRDefault="000568EE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:rsidR="000568EE" w:rsidRPr="008133FB" w:rsidRDefault="000568EE" w:rsidP="0087352C">
      <w:pPr>
        <w:pStyle w:val="Header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0568EE" w:rsidRDefault="000568EE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568EE" w:rsidRPr="008133FB" w:rsidRDefault="000568EE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Body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0568EE" w:rsidRPr="00C84E03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0568EE" w:rsidRPr="00C84E03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Escherichia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0568EE" w:rsidRPr="00C84E03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:rsidR="000568EE" w:rsidRPr="008133FB" w:rsidRDefault="000568EE" w:rsidP="00FC0584">
            <w:pPr>
              <w:pStyle w:val="Body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568EE" w:rsidRPr="008133FB" w:rsidRDefault="000568EE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:rsidR="000568EE" w:rsidRPr="008133FB" w:rsidRDefault="000568EE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:rsidR="000568EE" w:rsidRPr="008133FB" w:rsidRDefault="000568EE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:rsidR="000568EE" w:rsidRPr="008133FB" w:rsidRDefault="000568EE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0568EE" w:rsidRPr="008133FB" w:rsidRDefault="000568EE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:rsidR="000568EE" w:rsidRPr="008133FB" w:rsidRDefault="000568EE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:rsidR="000568EE" w:rsidRPr="008133FB" w:rsidRDefault="000568EE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19"/>
      </w:tblGrid>
      <w:tr w:rsidR="000568EE" w:rsidRPr="00C84E03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:rsidR="000568EE" w:rsidRPr="008133FB" w:rsidRDefault="000568E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0568EE" w:rsidRPr="00C84E03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:rsidR="000568EE" w:rsidRPr="008133FB" w:rsidRDefault="000568E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568EE" w:rsidRPr="00C84E03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0568EE" w:rsidRPr="008133FB" w:rsidRDefault="000568E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568EE" w:rsidRPr="00C84E03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0568EE" w:rsidRPr="008133FB" w:rsidRDefault="000568E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568EE" w:rsidRPr="00C84E03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0568EE" w:rsidRPr="008133FB" w:rsidRDefault="000568E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568EE" w:rsidRPr="00C84E03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0568EE" w:rsidRPr="008133FB" w:rsidRDefault="000568E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568EE" w:rsidRPr="00C84E03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:rsidR="000568EE" w:rsidRPr="008133FB" w:rsidRDefault="000568E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0568EE" w:rsidRPr="008133FB" w:rsidRDefault="000568EE" w:rsidP="0087352C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0568EE" w:rsidRPr="008133FB" w:rsidRDefault="000568EE" w:rsidP="0087352C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:rsidR="000568EE" w:rsidRPr="008133FB" w:rsidRDefault="000568EE" w:rsidP="0087352C">
      <w:pPr>
        <w:pStyle w:val="Header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:rsidR="000568EE" w:rsidRPr="008133FB" w:rsidRDefault="000568EE" w:rsidP="0087352C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:rsidR="000568EE" w:rsidRPr="008133FB" w:rsidRDefault="000568EE" w:rsidP="0087352C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:rsidR="000568EE" w:rsidRPr="008133FB" w:rsidRDefault="000568EE" w:rsidP="0087352C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0568EE" w:rsidRPr="008133FB" w:rsidRDefault="000568EE" w:rsidP="0087352C">
      <w:pPr>
        <w:pStyle w:val="Header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:rsidR="000568EE" w:rsidRPr="008133FB" w:rsidRDefault="000568EE" w:rsidP="0087352C">
      <w:pPr>
        <w:pStyle w:val="Header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:rsidR="000568EE" w:rsidRPr="008133FB" w:rsidRDefault="000568EE" w:rsidP="0087352C">
      <w:pPr>
        <w:pStyle w:val="Header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:rsidR="000568EE" w:rsidRPr="008133FB" w:rsidRDefault="000568EE" w:rsidP="0087352C">
      <w:pPr>
        <w:pStyle w:val="Header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:rsidR="000568EE" w:rsidRPr="008133FB" w:rsidRDefault="000568EE" w:rsidP="0087352C">
      <w:pPr>
        <w:pStyle w:val="Header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:rsidR="000568EE" w:rsidRPr="008133FB" w:rsidRDefault="000568EE" w:rsidP="0087352C">
      <w:pPr>
        <w:pStyle w:val="Header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:rsidR="000568EE" w:rsidRPr="008133FB" w:rsidRDefault="000568EE" w:rsidP="0087352C">
      <w:pPr>
        <w:pStyle w:val="Header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:rsidR="000568EE" w:rsidRPr="008133FB" w:rsidRDefault="000568EE" w:rsidP="0087352C">
      <w:pPr>
        <w:pStyle w:val="Header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:rsidR="000568EE" w:rsidRPr="008133FB" w:rsidRDefault="000568EE" w:rsidP="0087352C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:rsidR="000568EE" w:rsidRPr="008133FB" w:rsidRDefault="000568EE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:rsidR="000568EE" w:rsidRPr="008133FB" w:rsidRDefault="000568EE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:rsidR="000568EE" w:rsidRPr="008133FB" w:rsidRDefault="000568EE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:rsidR="000568EE" w:rsidRPr="008133FB" w:rsidRDefault="000568EE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:rsidR="000568EE" w:rsidRPr="008133FB" w:rsidRDefault="000568EE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:rsidR="000568EE" w:rsidRPr="008133FB" w:rsidRDefault="000568EE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:rsidR="000568EE" w:rsidRPr="008133FB" w:rsidRDefault="000568EE" w:rsidP="0087352C">
      <w:pPr>
        <w:pStyle w:val="Header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:rsidR="000568EE" w:rsidRPr="008133FB" w:rsidRDefault="000568EE" w:rsidP="0087352C">
      <w:pPr>
        <w:pStyle w:val="Normal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:rsidR="000568EE" w:rsidRPr="008133FB" w:rsidRDefault="000568EE" w:rsidP="0087352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:rsidR="000568EE" w:rsidRPr="008133FB" w:rsidRDefault="000568EE" w:rsidP="0087352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:rsidR="000568EE" w:rsidRPr="008133FB" w:rsidRDefault="000568EE" w:rsidP="0087352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</w:p>
    <w:p w:rsidR="000568EE" w:rsidRPr="008133FB" w:rsidRDefault="000568EE" w:rsidP="0087352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:rsidR="000568EE" w:rsidRPr="008133FB" w:rsidRDefault="000568EE" w:rsidP="0087352C">
      <w:pPr>
        <w:pStyle w:val="Normal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0568EE" w:rsidRPr="008133FB" w:rsidRDefault="000568EE" w:rsidP="0087352C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:rsidR="000568EE" w:rsidRPr="008133FB" w:rsidRDefault="000568EE" w:rsidP="0087352C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:rsidR="000568EE" w:rsidRPr="008133FB" w:rsidRDefault="000568EE" w:rsidP="0087352C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0568EE" w:rsidRPr="008133FB" w:rsidRDefault="000568EE" w:rsidP="0087352C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0568EE" w:rsidRPr="008133FB" w:rsidRDefault="000568EE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:rsidR="000568EE" w:rsidRPr="008133FB" w:rsidRDefault="000568EE" w:rsidP="0087352C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:rsidR="000568EE" w:rsidRPr="008133FB" w:rsidRDefault="000568EE" w:rsidP="0087352C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:rsidR="000568EE" w:rsidRPr="008133FB" w:rsidRDefault="000568EE" w:rsidP="0087352C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link"/>
            <w:rFonts w:ascii="Arial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link"/>
            <w:rFonts w:ascii="Arial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:rsidR="000568EE" w:rsidRPr="008133FB" w:rsidRDefault="000568EE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link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:rsidR="000568EE" w:rsidRPr="008133FB" w:rsidRDefault="000568EE" w:rsidP="0087352C">
      <w:pPr>
        <w:pStyle w:val="Header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:rsidR="000568EE" w:rsidRPr="0087352C" w:rsidRDefault="000568EE">
      <w:pPr>
        <w:rPr>
          <w:rFonts w:ascii="Arial" w:hAnsi="Arial" w:cs="Arial"/>
          <w:sz w:val="20"/>
          <w:szCs w:val="20"/>
          <w:lang w:eastAsia="ar-SA"/>
        </w:rPr>
      </w:pPr>
    </w:p>
    <w:sectPr w:rsidR="000568EE" w:rsidRPr="0087352C" w:rsidSect="00F276E9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2C"/>
    <w:rsid w:val="00025E2C"/>
    <w:rsid w:val="000568EE"/>
    <w:rsid w:val="0034232C"/>
    <w:rsid w:val="0037659C"/>
    <w:rsid w:val="007C012D"/>
    <w:rsid w:val="007F2486"/>
    <w:rsid w:val="008133FB"/>
    <w:rsid w:val="0087352C"/>
    <w:rsid w:val="008F487A"/>
    <w:rsid w:val="008F66C5"/>
    <w:rsid w:val="00960C0D"/>
    <w:rsid w:val="00B31F1B"/>
    <w:rsid w:val="00C84E03"/>
    <w:rsid w:val="00F276E9"/>
    <w:rsid w:val="00FC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352C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52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52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52C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52C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52C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52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52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352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52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52C"/>
    <w:rPr>
      <w:rFonts w:ascii="Calibri Light" w:hAnsi="Calibri Light" w:cs="Times New Roman"/>
      <w:color w:val="2E74B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352C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352C"/>
    <w:rPr>
      <w:rFonts w:eastAsia="Times New Roman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352C"/>
    <w:rPr>
      <w:rFonts w:eastAsia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352C"/>
    <w:rPr>
      <w:rFonts w:eastAsia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352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7352C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7352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7352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7352C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7352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35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352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7352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7352C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7352C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87352C"/>
    <w:rPr>
      <w:rFonts w:cs="Times New Roman"/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7352C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7352C"/>
    <w:rPr>
      <w:rFonts w:cs="Times New Roman"/>
      <w:i/>
      <w:iCs/>
      <w:color w:val="2E74B5"/>
    </w:rPr>
  </w:style>
  <w:style w:type="character" w:styleId="IntenseReference">
    <w:name w:val="Intense Reference"/>
    <w:basedOn w:val="DefaultParagraphFont"/>
    <w:uiPriority w:val="99"/>
    <w:qFormat/>
    <w:rsid w:val="0087352C"/>
    <w:rPr>
      <w:rFonts w:cs="Times New Roman"/>
      <w:b/>
      <w:bCs/>
      <w:smallCaps/>
      <w:color w:val="2E74B5"/>
      <w:spacing w:val="5"/>
    </w:rPr>
  </w:style>
  <w:style w:type="character" w:styleId="Hyperlink">
    <w:name w:val="Hyperlink"/>
    <w:basedOn w:val="DefaultParagraphFont"/>
    <w:uiPriority w:val="99"/>
    <w:rsid w:val="0087352C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352C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al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ar-SA"/>
    </w:rPr>
  </w:style>
  <w:style w:type="paragraph" w:customStyle="1" w:styleId="center">
    <w:name w:val="center"/>
    <w:basedOn w:val="Normal"/>
    <w:uiPriority w:val="99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352C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87352C"/>
    <w:pPr>
      <w:spacing w:after="120" w:line="480" w:lineRule="auto"/>
    </w:pPr>
    <w:rPr>
      <w:rFonts w:ascii="Arial" w:hAnsi="Arial"/>
      <w:kern w:val="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352C"/>
    <w:rPr>
      <w:rFonts w:ascii="Arial" w:eastAsia="Times New Roman" w:hAnsi="Arial" w:cs="Times New Roman"/>
      <w:kern w:val="0"/>
    </w:rPr>
  </w:style>
  <w:style w:type="paragraph" w:customStyle="1" w:styleId="Textpsmene">
    <w:name w:val="Text písmene"/>
    <w:basedOn w:val="Normal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1884</Words>
  <Characters>11119</Characters>
  <Application>Microsoft Office Outlook</Application>
  <DocSecurity>0</DocSecurity>
  <Lines>0</Lines>
  <Paragraphs>0</Paragraphs>
  <ScaleCrop>false</ScaleCrop>
  <Company>MZe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H.NAVARA</cp:lastModifiedBy>
  <cp:revision>3</cp:revision>
  <dcterms:created xsi:type="dcterms:W3CDTF">2024-12-20T09:20:00Z</dcterms:created>
  <dcterms:modified xsi:type="dcterms:W3CDTF">2025-01-10T12:09:00Z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